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25252"/>
          <w:sz w:val="21"/>
          <w:szCs w:val="21"/>
        </w:rPr>
        <w:t>Kjære kunde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4F2E22" w:rsidRDefault="004F2E22" w:rsidP="004F2E22">
      <w:pPr>
        <w:rPr>
          <w:rFonts w:ascii="Arial" w:hAnsi="Arial" w:cs="Arial"/>
          <w:i/>
          <w:iCs/>
          <w:color w:val="FF0000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Den nye skatteforvaltningslovens bestemmelser om tvangsmulkt kan gi uheldige økonomiske konsekvenser som vi vil gjøre deg oppmerksom på.  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2A1440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For at dere som næringsdrivende skal slippe å bli ilagt tvangsmulkt på grunn av for sent innleverte eller manglende opplysninger til skatteetaten, </w:t>
      </w:r>
      <w:r w:rsidR="002A1440" w:rsidRPr="002A1440">
        <w:rPr>
          <w:rFonts w:ascii="Arial" w:hAnsi="Arial" w:cs="Arial"/>
          <w:color w:val="525252"/>
          <w:sz w:val="21"/>
          <w:szCs w:val="21"/>
        </w:rPr>
        <w:t xml:space="preserve">er det svært viktig at vi sammen sørger for at vi får levert oppgaver til skatteetaten innen de frister som gjelder. </w:t>
      </w:r>
    </w:p>
    <w:p w:rsidR="002A1440" w:rsidRDefault="002A1440" w:rsidP="004F2E22">
      <w:pPr>
        <w:rPr>
          <w:rFonts w:ascii="Arial" w:hAnsi="Arial" w:cs="Arial"/>
          <w:color w:val="525252"/>
          <w:sz w:val="21"/>
          <w:szCs w:val="21"/>
        </w:rPr>
      </w:pPr>
    </w:p>
    <w:p w:rsidR="002A1440" w:rsidRDefault="002A1440" w:rsidP="004F2E22">
      <w:pPr>
        <w:rPr>
          <w:rFonts w:ascii="Arial" w:hAnsi="Arial" w:cs="Arial"/>
          <w:color w:val="525252"/>
          <w:sz w:val="21"/>
          <w:szCs w:val="21"/>
        </w:rPr>
      </w:pPr>
      <w:r w:rsidRPr="002A1440">
        <w:rPr>
          <w:rFonts w:ascii="Arial" w:hAnsi="Arial" w:cs="Arial"/>
          <w:color w:val="525252"/>
          <w:sz w:val="21"/>
          <w:szCs w:val="21"/>
        </w:rPr>
        <w:t xml:space="preserve">I og med at tvangsmulktsatsene er høye blir det viktigere enn noen gang </w:t>
      </w:r>
      <w:r>
        <w:rPr>
          <w:rFonts w:ascii="Arial" w:hAnsi="Arial" w:cs="Arial"/>
          <w:color w:val="525252"/>
          <w:sz w:val="21"/>
          <w:szCs w:val="21"/>
        </w:rPr>
        <w:t>å levere</w:t>
      </w:r>
      <w:r w:rsidRPr="002A1440">
        <w:rPr>
          <w:rFonts w:ascii="Arial" w:hAnsi="Arial" w:cs="Arial"/>
          <w:color w:val="525252"/>
          <w:sz w:val="21"/>
          <w:szCs w:val="21"/>
        </w:rPr>
        <w:t xml:space="preserve"> det vi skal innen de frister som er avtalt i oppdragsavtalen. Vår anmodning er derfor å ha høy fokus på å levere bilag og annen dokumentasjon til oss innen avtalte frister, så skal vi ta ansvar for å utføre våre oppgaver slik at fristene overholdes.</w:t>
      </w:r>
    </w:p>
    <w:p w:rsidR="002A1440" w:rsidRDefault="002A1440" w:rsidP="004F2E22">
      <w:pPr>
        <w:rPr>
          <w:rFonts w:ascii="Arial" w:hAnsi="Arial" w:cs="Arial"/>
          <w:color w:val="525252"/>
          <w:sz w:val="21"/>
          <w:szCs w:val="21"/>
        </w:rPr>
      </w:pPr>
    </w:p>
    <w:p w:rsidR="002A1440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De nye reglene om tvangsmulkt erstatter tidligere gjeldende regler om forsinkelsesavgift. De er inntatt i skatteforvaltningsloven, og du kan lese mer om reglene </w:t>
      </w:r>
      <w:hyperlink r:id="rId4" w:history="1">
        <w:r w:rsidRPr="002A1440">
          <w:rPr>
            <w:rStyle w:val="Hyperkobling"/>
            <w:rFonts w:ascii="Arial" w:hAnsi="Arial" w:cs="Arial"/>
            <w:sz w:val="21"/>
            <w:szCs w:val="21"/>
          </w:rPr>
          <w:t>her</w:t>
        </w:r>
      </w:hyperlink>
      <w:r w:rsidR="008B441B">
        <w:rPr>
          <w:rFonts w:ascii="Arial" w:hAnsi="Arial" w:cs="Arial"/>
          <w:color w:val="525252"/>
          <w:sz w:val="21"/>
          <w:szCs w:val="21"/>
        </w:rPr>
        <w:t xml:space="preserve">. 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Ta gjerne kontakt </w:t>
      </w:r>
      <w:r w:rsidR="008B441B">
        <w:rPr>
          <w:rFonts w:ascii="Arial" w:hAnsi="Arial" w:cs="Arial"/>
          <w:color w:val="525252"/>
          <w:sz w:val="21"/>
          <w:szCs w:val="21"/>
        </w:rPr>
        <w:t xml:space="preserve">– </w:t>
      </w:r>
      <w:r>
        <w:rPr>
          <w:rFonts w:ascii="Arial" w:hAnsi="Arial" w:cs="Arial"/>
          <w:color w:val="525252"/>
          <w:sz w:val="21"/>
          <w:szCs w:val="21"/>
        </w:rPr>
        <w:t xml:space="preserve">så vi sammen kan diskutere bedre eller mer effektive måter å samarbeide på. </w:t>
      </w:r>
      <w:r w:rsidR="002A1440" w:rsidRPr="002A1440">
        <w:rPr>
          <w:rFonts w:ascii="Arial" w:hAnsi="Arial" w:cs="Arial"/>
          <w:color w:val="525252"/>
          <w:sz w:val="21"/>
          <w:szCs w:val="21"/>
        </w:rPr>
        <w:t xml:space="preserve">Det kan gjelde både interne rutiner, kommunikasjonsform og utnyttelse av teknologi. </w:t>
      </w:r>
      <w:r>
        <w:rPr>
          <w:rFonts w:ascii="Arial" w:hAnsi="Arial" w:cs="Arial"/>
          <w:color w:val="525252"/>
          <w:sz w:val="21"/>
          <w:szCs w:val="21"/>
        </w:rPr>
        <w:t xml:space="preserve">I tillegg ønsker vi som alltid å bidra til at dere får korrekte regnskaper, samt at skatte- og </w:t>
      </w:r>
      <w:proofErr w:type="spellStart"/>
      <w:r>
        <w:rPr>
          <w:rFonts w:ascii="Arial" w:hAnsi="Arial" w:cs="Arial"/>
          <w:color w:val="525252"/>
          <w:sz w:val="21"/>
          <w:szCs w:val="21"/>
        </w:rPr>
        <w:t>avgiftsrapporteringen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blir </w:t>
      </w:r>
      <w:r w:rsidR="008B441B">
        <w:rPr>
          <w:rFonts w:ascii="Arial" w:hAnsi="Arial" w:cs="Arial"/>
          <w:color w:val="525252"/>
          <w:sz w:val="21"/>
          <w:szCs w:val="21"/>
        </w:rPr>
        <w:t>riktig</w:t>
      </w:r>
      <w:r>
        <w:rPr>
          <w:rFonts w:ascii="Arial" w:hAnsi="Arial" w:cs="Arial"/>
          <w:color w:val="525252"/>
          <w:sz w:val="21"/>
          <w:szCs w:val="21"/>
        </w:rPr>
        <w:t>.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Nytt år gir nye muligheter. Vi håper dere har kommet godt i gang og at samarbeidet vårt </w:t>
      </w:r>
      <w:r w:rsidR="008B441B">
        <w:rPr>
          <w:rFonts w:ascii="Arial" w:hAnsi="Arial" w:cs="Arial"/>
          <w:color w:val="525252"/>
          <w:sz w:val="21"/>
          <w:szCs w:val="21"/>
        </w:rPr>
        <w:t xml:space="preserve">fremover </w:t>
      </w:r>
      <w:r>
        <w:rPr>
          <w:rFonts w:ascii="Arial" w:hAnsi="Arial" w:cs="Arial"/>
          <w:color w:val="525252"/>
          <w:sz w:val="21"/>
          <w:szCs w:val="21"/>
        </w:rPr>
        <w:t>vil bli effektivt og lønnsomt for de</w:t>
      </w:r>
      <w:r w:rsidR="002A1440">
        <w:rPr>
          <w:rFonts w:ascii="Arial" w:hAnsi="Arial" w:cs="Arial"/>
          <w:color w:val="525252"/>
          <w:sz w:val="21"/>
          <w:szCs w:val="21"/>
        </w:rPr>
        <w:t>re</w:t>
      </w:r>
      <w:r>
        <w:rPr>
          <w:rFonts w:ascii="Arial" w:hAnsi="Arial" w:cs="Arial"/>
          <w:color w:val="525252"/>
          <w:sz w:val="21"/>
          <w:szCs w:val="21"/>
        </w:rPr>
        <w:t xml:space="preserve">. 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4F2E22" w:rsidRDefault="00005884" w:rsidP="004F2E22">
      <w:pPr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 xml:space="preserve">Vi benytter anledningen til å </w:t>
      </w:r>
      <w:r w:rsidR="004F2E22">
        <w:rPr>
          <w:rFonts w:ascii="Arial" w:hAnsi="Arial" w:cs="Arial"/>
          <w:color w:val="525252"/>
          <w:sz w:val="21"/>
          <w:szCs w:val="21"/>
        </w:rPr>
        <w:t xml:space="preserve">ønske </w:t>
      </w:r>
      <w:r w:rsidR="002A1440">
        <w:rPr>
          <w:rFonts w:ascii="Arial" w:hAnsi="Arial" w:cs="Arial"/>
          <w:color w:val="525252"/>
          <w:sz w:val="21"/>
          <w:szCs w:val="21"/>
        </w:rPr>
        <w:t xml:space="preserve">et </w:t>
      </w:r>
      <w:r w:rsidR="004F2E22">
        <w:rPr>
          <w:rFonts w:ascii="Arial" w:hAnsi="Arial" w:cs="Arial"/>
          <w:color w:val="525252"/>
          <w:sz w:val="21"/>
          <w:szCs w:val="21"/>
        </w:rPr>
        <w:t xml:space="preserve">godt nytt og fremgangsrikt år! </w:t>
      </w: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</w:p>
    <w:p w:rsidR="004F2E22" w:rsidRDefault="004F2E22" w:rsidP="004F2E22">
      <w:pPr>
        <w:rPr>
          <w:rFonts w:ascii="Arial" w:hAnsi="Arial" w:cs="Arial"/>
          <w:color w:val="525252"/>
          <w:sz w:val="21"/>
          <w:szCs w:val="21"/>
        </w:rPr>
      </w:pPr>
      <w:proofErr w:type="spellStart"/>
      <w:r>
        <w:rPr>
          <w:rFonts w:ascii="Arial" w:hAnsi="Arial" w:cs="Arial"/>
          <w:color w:val="525252"/>
          <w:sz w:val="21"/>
          <w:szCs w:val="21"/>
        </w:rPr>
        <w:t>Mvh</w:t>
      </w:r>
      <w:proofErr w:type="spellEnd"/>
      <w:r>
        <w:rPr>
          <w:rFonts w:ascii="Arial" w:hAnsi="Arial" w:cs="Arial"/>
          <w:color w:val="525252"/>
          <w:sz w:val="21"/>
          <w:szCs w:val="21"/>
        </w:rPr>
        <w:t xml:space="preserve"> </w:t>
      </w:r>
    </w:p>
    <w:p w:rsidR="0092233F" w:rsidRDefault="0092233F" w:rsidP="00ED7882">
      <w:pPr>
        <w:rPr>
          <w:rFonts w:ascii="Arial" w:hAnsi="Arial" w:cs="Arial"/>
          <w:color w:val="525252"/>
          <w:sz w:val="21"/>
          <w:szCs w:val="21"/>
          <w:lang w:eastAsia="en-US"/>
        </w:rPr>
      </w:pPr>
    </w:p>
    <w:p w:rsidR="0092233F" w:rsidRDefault="0092233F" w:rsidP="0092233F">
      <w:pPr>
        <w:rPr>
          <w:rFonts w:ascii="Arial" w:hAnsi="Arial" w:cs="Arial"/>
          <w:sz w:val="21"/>
          <w:szCs w:val="21"/>
        </w:rPr>
      </w:pPr>
    </w:p>
    <w:p w:rsidR="0092233F" w:rsidRDefault="0092233F" w:rsidP="0092233F">
      <w:pPr>
        <w:rPr>
          <w:rFonts w:ascii="Calibri" w:hAnsi="Calibri"/>
          <w:sz w:val="22"/>
          <w:szCs w:val="22"/>
        </w:rPr>
      </w:pPr>
    </w:p>
    <w:p w:rsidR="0092233F" w:rsidRDefault="0092233F" w:rsidP="00ED7882">
      <w:pPr>
        <w:rPr>
          <w:rFonts w:ascii="Arial" w:hAnsi="Arial" w:cs="Arial"/>
          <w:color w:val="525252"/>
          <w:sz w:val="21"/>
          <w:szCs w:val="21"/>
          <w:lang w:eastAsia="en-US"/>
        </w:rPr>
      </w:pPr>
    </w:p>
    <w:p w:rsidR="004F0050" w:rsidRDefault="004F0050"/>
    <w:sectPr w:rsidR="004F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2"/>
    <w:rsid w:val="00005884"/>
    <w:rsid w:val="002A1440"/>
    <w:rsid w:val="004F0050"/>
    <w:rsid w:val="004F2E22"/>
    <w:rsid w:val="0067408F"/>
    <w:rsid w:val="008B441B"/>
    <w:rsid w:val="0092233F"/>
    <w:rsid w:val="00BA28B7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F5C6-9ECF-4B04-BED7-3EF135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8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nskapnorge.no/artikler/skatt/skatteetaten-innforer-tvangsmulkt-ved-for-sen-lev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Kaarbø Løvold</dc:creator>
  <cp:keywords/>
  <dc:description/>
  <cp:lastModifiedBy>Marit Kaarbø Løvold</cp:lastModifiedBy>
  <cp:revision>2</cp:revision>
  <dcterms:created xsi:type="dcterms:W3CDTF">2017-01-05T12:52:00Z</dcterms:created>
  <dcterms:modified xsi:type="dcterms:W3CDTF">2017-01-05T12:52:00Z</dcterms:modified>
</cp:coreProperties>
</file>